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FAA4" w14:textId="77777777" w:rsidR="00357BC3" w:rsidRPr="00F73F74" w:rsidRDefault="00357BC3" w:rsidP="00357BC3">
      <w:pPr>
        <w:pStyle w:val="Heading2"/>
        <w:rPr>
          <w:rFonts w:ascii="Trebuchet MS" w:hAnsi="Trebuchet MS"/>
          <w:b/>
          <w:bCs/>
          <w:color w:val="1F3864" w:themeColor="accent1" w:themeShade="80"/>
          <w:w w:val="105"/>
          <w:szCs w:val="22"/>
          <w:lang w:val="ro-RO"/>
        </w:rPr>
      </w:pPr>
      <w:bookmarkStart w:id="0" w:name="_Toc135760400"/>
      <w:r w:rsidRPr="00F73F74">
        <w:rPr>
          <w:rFonts w:ascii="Trebuchet MS" w:hAnsi="Trebuchet MS"/>
          <w:b/>
          <w:bCs/>
          <w:color w:val="1F3864" w:themeColor="accent1" w:themeShade="80"/>
          <w:w w:val="105"/>
          <w:szCs w:val="22"/>
          <w:lang w:val="ro-RO"/>
        </w:rPr>
        <w:t>Anexa 3 – Criteriile de evaluare tehnică şi financiară calitativă</w:t>
      </w:r>
      <w:bookmarkEnd w:id="0"/>
      <w:r w:rsidRPr="00F73F74">
        <w:rPr>
          <w:rFonts w:ascii="Trebuchet MS" w:hAnsi="Trebuchet MS"/>
          <w:b/>
          <w:bCs/>
          <w:color w:val="1F3864" w:themeColor="accent1" w:themeShade="80"/>
          <w:w w:val="105"/>
          <w:szCs w:val="22"/>
          <w:lang w:val="ro-RO"/>
        </w:rPr>
        <w:t xml:space="preserve"> </w:t>
      </w:r>
    </w:p>
    <w:tbl>
      <w:tblPr>
        <w:tblpPr w:leftFromText="180" w:rightFromText="180" w:vertAnchor="text" w:horzAnchor="margin" w:tblpY="286"/>
        <w:tblW w:w="5484" w:type="pct"/>
        <w:tblLook w:val="0000" w:firstRow="0" w:lastRow="0" w:firstColumn="0" w:lastColumn="0" w:noHBand="0" w:noVBand="0"/>
      </w:tblPr>
      <w:tblGrid>
        <w:gridCol w:w="832"/>
        <w:gridCol w:w="5128"/>
        <w:gridCol w:w="4852"/>
        <w:gridCol w:w="1389"/>
        <w:gridCol w:w="2003"/>
      </w:tblGrid>
      <w:tr w:rsidR="00357BC3" w:rsidRPr="00F73F74" w14:paraId="14B83A89" w14:textId="77777777" w:rsidTr="006D5614">
        <w:trPr>
          <w:tblHeader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1D81B0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Nr. crt.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90BC65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Criterii de evaluare și selec</w:t>
            </w:r>
            <w:r w:rsidRPr="00F73F74">
              <w:rPr>
                <w:rFonts w:ascii="Trebuchet MS" w:eastAsia="MS Mincho" w:hAnsi="Trebuchet MS"/>
                <w:b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ie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5D985006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Explica</w:t>
            </w:r>
            <w:r w:rsidRPr="00F73F74">
              <w:rPr>
                <w:rFonts w:ascii="Trebuchet MS" w:eastAsia="MS Mincho" w:hAnsi="Trebuchet MS"/>
                <w:b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ii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742CE25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Punctaj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8EB44B9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Modul de acordare a punctajului</w:t>
            </w:r>
          </w:p>
        </w:tc>
      </w:tr>
      <w:tr w:rsidR="00357BC3" w:rsidRPr="00F73F74" w14:paraId="0F1D68EC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AAA5EA0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bCs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4FD1D8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bCs/>
                <w:color w:val="1F3864" w:themeColor="accent1" w:themeShade="80"/>
                <w:lang w:val="ro-RO"/>
              </w:rPr>
              <w:t>RELEVAN</w:t>
            </w:r>
            <w:r w:rsidRPr="00F73F74">
              <w:rPr>
                <w:rFonts w:ascii="Trebuchet MS" w:hAnsi="Trebuchet MS"/>
                <w:b/>
                <w:bCs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b/>
                <w:bCs/>
                <w:color w:val="1F3864" w:themeColor="accent1" w:themeShade="80"/>
                <w:lang w:val="ro-RO"/>
              </w:rPr>
              <w:t xml:space="preserve">Ă 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– măsura în care proiectul contribuie la realizarea obiectivelor PEO și ale documentelor strategice relevante.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D63AD20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Max. 30</w:t>
            </w:r>
          </w:p>
          <w:p w14:paraId="63F564B0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Min. 21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824996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</w:tr>
      <w:tr w:rsidR="004D2618" w:rsidRPr="00F73F74" w14:paraId="4FE5127C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280CA" w14:textId="7BE5E5F8" w:rsidR="004D2618" w:rsidRPr="00F73F74" w:rsidRDefault="004D2618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3ACDB" w14:textId="5B806C6F" w:rsidR="004D2618" w:rsidRPr="00F73F74" w:rsidRDefault="004D2618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Obiectivele proiectului contribuie la reali</w:t>
            </w:r>
            <w:r>
              <w:rPr>
                <w:rFonts w:ascii="Trebuchet MS" w:hAnsi="Trebuchet MS" w:cstheme="minorHAnsi"/>
                <w:lang w:val="ro-RO"/>
              </w:rPr>
              <w:t>zarea obiectivelor specifice AP10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 P</w:t>
            </w:r>
            <w:r>
              <w:rPr>
                <w:rFonts w:ascii="Trebuchet MS" w:hAnsi="Trebuchet MS" w:cstheme="minorHAnsi"/>
                <w:lang w:val="ro-RO"/>
              </w:rPr>
              <w:t>EO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, inclusiv în Strategia de utilizare a asistenței tehnice a </w:t>
            </w:r>
            <w:r>
              <w:rPr>
                <w:rFonts w:ascii="Trebuchet MS" w:hAnsi="Trebuchet MS" w:cstheme="minorHAnsi"/>
                <w:lang w:val="ro-RO"/>
              </w:rPr>
              <w:t>PEO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47EB" w14:textId="18F14BDE" w:rsidR="004D2618" w:rsidRPr="00F73F74" w:rsidRDefault="004D2618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Obiectivele proiectului contribuie la realizarea obiectivelor specice AP 10 PEO, inclusiv in Strategia de utilizare a asistenței tehnice PEO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CDAC" w14:textId="68CCC5F3" w:rsidR="004D2618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292E61" w14:textId="738549BA" w:rsidR="004D2618" w:rsidRPr="00F73F74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  <w:tr w:rsidR="004D2618" w:rsidRPr="00F73F74" w14:paraId="3B739E90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EA313" w14:textId="7636CEAE" w:rsidR="004D2618" w:rsidRPr="00F73F74" w:rsidRDefault="009C5632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2BAFC" w14:textId="70953BFE" w:rsidR="004D2618" w:rsidRPr="008D72A5" w:rsidRDefault="004D2618" w:rsidP="006D5614">
            <w:pPr>
              <w:spacing w:before="120" w:after="120" w:line="240" w:lineRule="auto"/>
              <w:jc w:val="both"/>
              <w:rPr>
                <w:rFonts w:ascii="Trebuchet MS" w:hAnsi="Trebuchet MS" w:cstheme="minorHAnsi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Grupul țintă este definit clar și cuantificat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4065" w14:textId="5627BC71" w:rsidR="004D2618" w:rsidRPr="00F73F74" w:rsidRDefault="004D2618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Categoriile de grup ţintă sunt clar delimitate şi identificate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3D49" w14:textId="4D751E55" w:rsidR="004D2618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EBDC9" w14:textId="59443D9A" w:rsidR="004D2618" w:rsidRPr="00F73F74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70B11101" w14:textId="77777777" w:rsidTr="009C5632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FFD691" w14:textId="5CA193AB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</w:t>
            </w:r>
            <w:r w:rsidR="009C5632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D7470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Nevoile grupului țintă sunt clar identificate, fundamentate prin analiza proprie a solicitantului, sunt specifice proiectului şi corelate cu obiectivele acestuia (se va face referire la sursele de informații pentru analiza de nevoi realizată de solicitant).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9769" w14:textId="586857D4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Nevoile grupului ţintă vizat prin proiect sunt identificate de către solicitant pe baza unei analize</w:t>
            </w:r>
            <w:r w:rsidR="004D261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proprii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813F" w14:textId="76B90450" w:rsidR="00357BC3" w:rsidRPr="00F73F74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0928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3D9AF447" w14:textId="77777777" w:rsidTr="009C5632"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4C85" w14:textId="6985B5C4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</w:t>
            </w:r>
            <w:r w:rsidR="009C5632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4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7F9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Calibri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Proiectul detaliază și cuantifică măsurile de promovare a principiilor orizontale din PEO, conform specifica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iilor din Ghidului Solicitantului (dezvoltare durabilă/egalitate de șanse și de tratament între femei și bărbați/nediscriminarea și prevenirea oricărei forme de discriminare/accesibilitatea pentru persoanele cu dizabilități) 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34DE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Proiectul detaliază și cuantifică</w:t>
            </w:r>
            <w:r w:rsidRPr="00F73F74">
              <w:rPr>
                <w:color w:val="1F3864" w:themeColor="accent1" w:themeShade="80"/>
              </w:rPr>
              <w:t xml:space="preserve"> </w:t>
            </w: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din punct de vedere financiar   măsuri de promovare a principiilor orizontale: egalitate de șanse și de tratament între bărbați și femei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C43" w14:textId="054BBD90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B1AAC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0C79446B" w14:textId="77777777" w:rsidTr="009C5632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1FAE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58E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64CDEA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Proiectul detaliază și cuantifică</w:t>
            </w:r>
            <w:r w:rsidRPr="00F73F74">
              <w:rPr>
                <w:color w:val="1F3864" w:themeColor="accent1" w:themeShade="80"/>
              </w:rPr>
              <w:t xml:space="preserve"> </w:t>
            </w: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din punct de vedere financiar   măsuri de promovare a principiilor orizontale: accesibilitatea pentru persoanele cu dizabilități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4E7E" w14:textId="21D05693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9C125C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5049D384" w14:textId="77777777" w:rsidTr="009C5632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6D0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DB2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3D4491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Calibri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Proiectul detaliază și cuantifică</w:t>
            </w:r>
            <w:r w:rsidRPr="00F73F74">
              <w:rPr>
                <w:color w:val="1F3864" w:themeColor="accent1" w:themeShade="80"/>
              </w:rPr>
              <w:t xml:space="preserve"> </w:t>
            </w: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din punct de vedere financiar   măsuri de promovare a principiilor orizontale: dezvoltare durabilă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2C6B" w14:textId="29872737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D22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7D332140" w14:textId="77777777" w:rsidTr="009C5632">
        <w:tc>
          <w:tcPr>
            <w:tcW w:w="29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444A24" w14:textId="499B1FE1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</w:t>
            </w:r>
            <w:r w:rsidR="009C5632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5DD2317" w14:textId="7627EC36" w:rsidR="00357BC3" w:rsidRPr="00F73F74" w:rsidRDefault="009C5632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Justificarea necesității implementării proiectului este întemeiată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054B" w14:textId="17476BCD" w:rsidR="00357BC3" w:rsidRPr="00F73F74" w:rsidRDefault="009C5632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Justificarea necesității implementării proiectului este întemeiată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E338" w14:textId="0D22DB3E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8C8E11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7338D810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0B210AE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A36BD3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i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EFICACITATE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– măsura în care rezultatele proiectului contribuie la atingerea obiectivelor propuse</w:t>
            </w:r>
          </w:p>
          <w:p w14:paraId="01052D2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EA168D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Max. 30</w:t>
            </w:r>
          </w:p>
          <w:p w14:paraId="5140B54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Min. 21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A769B8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64BEC919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C5D81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2.1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FFFB5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Indicatorii de realizare imediată sunt rezultatul direct al activită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ilor proiectului, 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intele sunt realiste (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cuantificate corect) 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şi 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pornesc de la valori de referință pentru a sprijini îndeplinirea obiectivelor proiectului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A24A7" w14:textId="7B41C009" w:rsidR="00357BC3" w:rsidRPr="00F73F74" w:rsidRDefault="009C5632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9C5632">
              <w:rPr>
                <w:rFonts w:ascii="Trebuchet MS" w:hAnsi="Trebuchet MS" w:cs="Arial"/>
                <w:color w:val="1F3864" w:themeColor="accent1" w:themeShade="80"/>
                <w:lang w:val="ro-RO"/>
              </w:rPr>
              <w:t>Indicatorii propuși sunt clar definiți, adecvați și relevanți pentru scopul proiectului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3CF1AA" w14:textId="0A455832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0FB5D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1BBDCEF8" w14:textId="77777777" w:rsidTr="006D5614"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CE822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2.2</w:t>
            </w:r>
          </w:p>
        </w:tc>
        <w:tc>
          <w:tcPr>
            <w:tcW w:w="18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63EDCD" w14:textId="6715E12A" w:rsidR="00357BC3" w:rsidRPr="00F73F74" w:rsidRDefault="009C5632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Rezultatele proiectului sunt corelate cu obiectivele proiectului</w:t>
            </w:r>
            <w:r>
              <w:rPr>
                <w:rFonts w:ascii="Trebuchet MS" w:hAnsi="Trebuchet MS" w:cstheme="minorHAnsi"/>
                <w:lang w:val="ro-RO"/>
              </w:rPr>
              <w:t xml:space="preserve"> și </w:t>
            </w:r>
            <w:r w:rsidRPr="008D72A5">
              <w:rPr>
                <w:rFonts w:ascii="Trebuchet MS" w:hAnsi="Trebuchet MS" w:cstheme="minorHAnsi"/>
                <w:lang w:val="ro-RO"/>
              </w:rPr>
              <w:t>conduc la îndeplinirea obiectivelor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D74C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Există corela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ie între realizările imediate, rezultate şi obiectivele apelului (programului)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E41F8" w14:textId="5B988556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55AC4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6FD199B2" w14:textId="77777777" w:rsidTr="00B313E9">
        <w:tc>
          <w:tcPr>
            <w:tcW w:w="2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BB9D10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9466E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BE38A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Rezultatele proiectului contribuie la realizarea obiectivelor de program aferente domeniului respectiv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94ED25" w14:textId="1819DF04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A5DE9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1081CA0E" w14:textId="77777777" w:rsidTr="00B313E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22AA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2.3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A9B7D" w14:textId="6D1039BD" w:rsidR="00357BC3" w:rsidRPr="00B313E9" w:rsidRDefault="00B313E9" w:rsidP="006D5614">
            <w:pPr>
              <w:spacing w:before="120" w:after="120" w:line="240" w:lineRule="auto"/>
              <w:jc w:val="both"/>
              <w:rPr>
                <w:rFonts w:ascii="Trebuchet MS" w:eastAsia="Calibri" w:hAnsi="Trebuchet MS" w:cs="Times New Roman"/>
                <w:i/>
                <w:iCs/>
                <w:color w:val="1F3864" w:themeColor="accent1" w:themeShade="80"/>
                <w:lang w:val="fr-FR"/>
              </w:rPr>
            </w:pPr>
            <w:r w:rsidRPr="00B313E9">
              <w:rPr>
                <w:rFonts w:ascii="Trebuchet MS" w:hAnsi="Trebuchet MS" w:cstheme="minorHAnsi"/>
                <w:lang w:val="ro-RO"/>
              </w:rPr>
              <w:t>Planificarea activităților proiectului este rațională în raport cu natura activităților propuse și cu rezultatele așteptate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BCFF2" w14:textId="71A808DB" w:rsidR="00357BC3" w:rsidRPr="00B313E9" w:rsidRDefault="00B313E9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B313E9">
              <w:rPr>
                <w:rFonts w:ascii="Trebuchet MS" w:hAnsi="Trebuchet MS" w:cstheme="minorHAnsi"/>
                <w:lang w:val="ro-RO"/>
              </w:rPr>
              <w:t>Planificarea activităților proiectului este rațională în raport cu natura activităților propuse și cu rezultatele așteptate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53FF7" w14:textId="4E5D99FA" w:rsidR="00357BC3" w:rsidRPr="00F73F74" w:rsidDel="00E952C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F3EAC2" w14:textId="78E08D04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B313E9" w:rsidRPr="00F73F74" w14:paraId="5537A2D6" w14:textId="77777777" w:rsidTr="00B313E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06A05" w14:textId="289DAFAD" w:rsidR="00B313E9" w:rsidRPr="00F73F74" w:rsidRDefault="00B313E9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2.4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017C3" w14:textId="1CB6A946" w:rsidR="00B313E9" w:rsidRPr="009D391C" w:rsidRDefault="00B313E9" w:rsidP="006D5614">
            <w:pPr>
              <w:spacing w:before="120" w:after="120" w:line="240" w:lineRule="auto"/>
              <w:jc w:val="both"/>
              <w:rPr>
                <w:rFonts w:ascii="Trebuchet MS" w:hAnsi="Trebuchet MS" w:cstheme="minorHAnsi"/>
                <w:highlight w:val="yellow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Proiectul prezint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 clar modul de implementare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>ilor  propuse (Metodologia de implementare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>ilor)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C546D" w14:textId="7E794FCF" w:rsidR="00B313E9" w:rsidRPr="009D391C" w:rsidRDefault="00B313E9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theme="minorHAnsi"/>
                <w:highlight w:val="yellow"/>
                <w:lang w:val="ro-RO"/>
              </w:rPr>
            </w:pPr>
            <w:r w:rsidRPr="00B313E9">
              <w:rPr>
                <w:rFonts w:ascii="Trebuchet MS" w:hAnsi="Trebuchet MS" w:cstheme="minorHAnsi"/>
                <w:lang w:val="ro-RO"/>
              </w:rPr>
              <w:t>Proiectul prezintă clar modul de implementare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ilor  propuse </w:t>
            </w:r>
            <w:r w:rsidRPr="008D72A5">
              <w:rPr>
                <w:rFonts w:ascii="Trebuchet MS" w:hAnsi="Trebuchet MS" w:cstheme="minorHAnsi"/>
                <w:lang w:val="ro-RO"/>
              </w:rPr>
              <w:lastRenderedPageBreak/>
              <w:t>(Metodologia de implementare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>ilor)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FC979" w14:textId="746DE046" w:rsidR="00B313E9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lastRenderedPageBreak/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B0C9B9" w14:textId="77777777" w:rsidR="00B313E9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4387138C" w14:textId="77777777" w:rsidTr="006D5614"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52BE1A" w14:textId="2CA2DDF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2.</w:t>
            </w:r>
            <w:r w:rsidR="00B313E9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18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3C3B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În proiect sunt identificate ipotezele și riscurile principale care pot afecta atingerea obiectivelor proiectului şi este prevăzut un plan de gestionare a acestora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F5E7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Sunt descrise condițiile pe baza cărora proiectul poate fi implementat cu succes, precum şi riscurile principale şi impactul acestora asupra desfăşurării proiectului şi a atingerii indicatorilor propuşi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A87D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D989C4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2E6533A6" w14:textId="77777777" w:rsidTr="006D5614"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5B88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85D921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B402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Sunt prezentate măsurile de prevenire a apari</w:t>
            </w:r>
            <w:r w:rsidRPr="00F73F74">
              <w:rPr>
                <w:rFonts w:ascii="Trebuchet MS" w:eastAsia="MS Mincho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iei riscurilor şi de atenuare a efectelor acestora în cazul apari</w:t>
            </w:r>
            <w:r w:rsidRPr="00F73F74">
              <w:rPr>
                <w:rFonts w:ascii="Trebuchet MS" w:eastAsia="MS Mincho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iei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9594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043B57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2036D64E" w14:textId="77777777" w:rsidTr="006D5614">
        <w:tc>
          <w:tcPr>
            <w:tcW w:w="2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463C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7152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4A3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Riscurile descrise sunt realiste, iar măsurile de prevenție a efectelor sunt eficiente (nu se va acorda prioritate numărului riscurilor identificate)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76DA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69C7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4CF37FA1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2C82E19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49D650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EFICIEN</w:t>
            </w:r>
            <w:r w:rsidRPr="00F73F74">
              <w:rPr>
                <w:rFonts w:ascii="Trebuchet MS" w:hAnsi="Trebuchet MS"/>
                <w:b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Ă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–</w:t>
            </w:r>
            <w:r w:rsidRPr="00F73F74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 xml:space="preserve"> </w:t>
            </w:r>
            <w:r w:rsidRPr="00F73F74"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  <w:t>măsura în care proiectul asigură utilizarea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optimă a resurselor (umane, materiale, financiare), în termeni de calitate, cantitate și timp alocat, în contextul implementării activită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ilor proiectului în vederea atingerii rezultatelor propuse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5397F6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Max. 30</w:t>
            </w:r>
          </w:p>
          <w:p w14:paraId="29D985A9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Min. 21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8E965CF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1715D766" w14:textId="77777777" w:rsidTr="00B313E9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41DA1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3.1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D6BA" w14:textId="77777777" w:rsidR="00357BC3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Costurile incluse în buget sunt corelate cu nivelul pieței și sunt fundamentate prin analiza prezentată de solicitant</w:t>
            </w:r>
          </w:p>
          <w:p w14:paraId="65A170AB" w14:textId="6C5AD64F" w:rsidR="00B313E9" w:rsidRPr="00F73F74" w:rsidRDefault="00B313E9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N.B In cazul in care proiectul nu presupune achizitia de bunuri si servicii – proiectul obtine punctaj maxim la acest sub-criteriu de evaluare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8325EB" w14:textId="77777777" w:rsidR="00357BC3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Este prezentată o analiză a costurilor de pe pia</w:t>
            </w:r>
            <w:r w:rsidRPr="00F73F74">
              <w:rPr>
                <w:rFonts w:ascii="Trebuchet MS" w:eastAsia="MS Mincho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ă pentru servicii/bunuri similare </w:t>
            </w:r>
          </w:p>
          <w:p w14:paraId="7D6C3F63" w14:textId="1252667D" w:rsidR="00C93AFD" w:rsidRPr="00F73F74" w:rsidRDefault="00C93AFD" w:rsidP="00C93AFD">
            <w:pPr>
              <w:suppressAutoHyphens/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N.B In cazul in care proiectul nu presupune achizitia de bunuri si servicii – proiectul obtine punctaj maxim la acest sub-criteriu de evaluare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AF0D" w14:textId="1AE5B191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69C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5145E56F" w14:textId="77777777" w:rsidTr="00B313E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2638" w14:textId="720C684C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3.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F4B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Costurile incluse în buget sunt adecvate în raport cu  activită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ile propuse și rezultatele așteptate.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813B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t>Valorile cuprinse în bugetul proiectului sunt sus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t>inute concret de o justificare corectă privind numărul de unită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t xml:space="preserve">i (cantitatea, după </w:t>
            </w: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lastRenderedPageBreak/>
              <w:t xml:space="preserve">caz) și costul unitar, pentru fiecare tip de cheltuială  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DE5900" w14:textId="57D5EBD5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lastRenderedPageBreak/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9210E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2928CAD1" w14:textId="77777777" w:rsidTr="00B313E9"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7FD9E7D" w14:textId="1FDA36E2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3.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7B5D063" w14:textId="144D9008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Resursele</w:t>
            </w:r>
            <w:r w:rsidR="00C93AFD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unmane sau bunurile si serviile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care  vor  fi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ab/>
              <w:t xml:space="preserve"> achiziționate sunt justificate în raport cu activitățile şi cu rezultatele proiectului.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61E6" w14:textId="135C3A60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Resursele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umane sau bunurile si serviciile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care vor fi achiziționate sunt justificate în raport cu activităţile şi cu rezultatele proiectului.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78D0" w14:textId="5D8C21AA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AF9D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31ED84A1" w14:textId="77777777" w:rsidTr="006D5614">
        <w:tc>
          <w:tcPr>
            <w:tcW w:w="2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70E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BBA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41E9" w14:textId="46AEB871" w:rsidR="00357BC3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Solicitantul va achiziționa bunuri și servicii cu un impact redus asupra mediului, pe durata i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̂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ntregului ciclu de viat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̦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a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̆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al acestora, în comparat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̦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ie cu bunurile 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ș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 serviciile cu aceea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ș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 func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ie primar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ă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achizi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ionate altfel dec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â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t prin achizi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ii ecologice</w:t>
            </w:r>
          </w:p>
          <w:p w14:paraId="14C54FDD" w14:textId="63642E02" w:rsidR="00C93AFD" w:rsidRPr="00F73F74" w:rsidRDefault="00C93AFD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N.B In cazul in care proiectul nu presupune achizitia de bunuri si servicii – proiectul obtine punctaj maxim la acest sub-criteriu de evaluare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825C" w14:textId="317C6FF5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02A7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71F0FD41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218AF4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4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8091C78" w14:textId="77777777" w:rsidR="00357BC3" w:rsidRPr="00F73F74" w:rsidRDefault="00357BC3" w:rsidP="006D5614">
            <w:pPr>
              <w:suppressAutoHyphens/>
              <w:spacing w:before="120" w:after="120" w:line="240" w:lineRule="auto"/>
              <w:ind w:left="188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SUSTENABILITATE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– măsura în care proiectul asigură continuarea efectelor sale şi valorificarea rezultatelor obținute după încetarea sursei de finanțare 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096141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Max. 10</w:t>
            </w:r>
          </w:p>
          <w:p w14:paraId="688D90C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Min. 7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9F89ECE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3A9C707E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87CCC" w14:textId="573C6702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4.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D89851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prevede s</w:t>
            </w:r>
            <w:r w:rsidRPr="00F73F74"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  <w:t>ustenabilitate instituţională</w:t>
            </w:r>
          </w:p>
        </w:tc>
        <w:tc>
          <w:tcPr>
            <w:tcW w:w="1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3F16" w14:textId="64169FE5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Times New Roman" w:hAnsi="Trebuchet MS" w:cs="Times New Roman"/>
                <w:color w:val="1F3864" w:themeColor="accent1" w:themeShade="80"/>
                <w:lang w:val="ro-RO"/>
              </w:rPr>
              <w:t xml:space="preserve">Proiectul își asumă, ulterior finalizării perioadei de implementare, sustenabilitatea </w:t>
            </w:r>
            <w:r w:rsidR="00C93AFD">
              <w:rPr>
                <w:rFonts w:ascii="Trebuchet MS" w:eastAsia="Times New Roman" w:hAnsi="Trebuchet MS" w:cs="Times New Roman"/>
                <w:color w:val="1F3864" w:themeColor="accent1" w:themeShade="80"/>
                <w:lang w:val="ro-RO"/>
              </w:rPr>
              <w:t>institutională</w:t>
            </w:r>
            <w:r w:rsidRPr="00F73F74">
              <w:rPr>
                <w:rFonts w:ascii="Trebuchet MS" w:eastAsia="Times New Roman" w:hAnsi="Trebuchet MS" w:cs="Times New Roman"/>
                <w:color w:val="1F3864" w:themeColor="accent1" w:themeShade="80"/>
                <w:lang w:val="ro-RO"/>
              </w:rPr>
              <w:t>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D26E" w14:textId="2C6B02E5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C2F2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disjunctiv</w:t>
            </w:r>
          </w:p>
        </w:tc>
      </w:tr>
      <w:tr w:rsidR="00357BC3" w:rsidRPr="00F73F74" w14:paraId="7308581B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3A7E" w14:textId="68A998B1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4.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E53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  <w:t>Proiectul prevede sustenabilitate financiară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48F9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bCs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Cs/>
                <w:color w:val="1F3864" w:themeColor="accent1" w:themeShade="80"/>
                <w:lang w:val="ro-RO"/>
              </w:rPr>
              <w:t>Proiectul descrie concret modalitățile de asigurare a finanțării după finalizarea finanțării nerambursabile (fundraising,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matching - funds</w:t>
            </w:r>
            <w:r w:rsidRPr="00F73F74">
              <w:rPr>
                <w:rFonts w:ascii="Trebuchet MS" w:eastAsia="MS Mincho" w:hAnsi="Trebuchet MS" w:cs="Arial"/>
                <w:bCs/>
                <w:color w:val="1F3864" w:themeColor="accent1" w:themeShade="80"/>
                <w:lang w:val="ro-RO"/>
              </w:rPr>
              <w:t xml:space="preserve"> etc.)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31B4" w14:textId="1E342387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789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</w:tbl>
    <w:p w14:paraId="2C1D5690" w14:textId="77777777" w:rsidR="00841AA7" w:rsidRDefault="00841AA7" w:rsidP="00357BC3"/>
    <w:sectPr w:rsidR="00841AA7" w:rsidSect="000951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24722"/>
    <w:multiLevelType w:val="hybridMultilevel"/>
    <w:tmpl w:val="F4282756"/>
    <w:lvl w:ilvl="0" w:tplc="12C22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27647">
    <w:abstractNumId w:val="3"/>
  </w:num>
  <w:num w:numId="2" w16cid:durableId="536432193">
    <w:abstractNumId w:val="8"/>
  </w:num>
  <w:num w:numId="3" w16cid:durableId="2076925226">
    <w:abstractNumId w:val="4"/>
  </w:num>
  <w:num w:numId="4" w16cid:durableId="1537624669">
    <w:abstractNumId w:val="1"/>
  </w:num>
  <w:num w:numId="5" w16cid:durableId="1754888589">
    <w:abstractNumId w:val="9"/>
  </w:num>
  <w:num w:numId="6" w16cid:durableId="1935898935">
    <w:abstractNumId w:val="11"/>
  </w:num>
  <w:num w:numId="7" w16cid:durableId="981467206">
    <w:abstractNumId w:val="11"/>
  </w:num>
  <w:num w:numId="8" w16cid:durableId="1949044713">
    <w:abstractNumId w:val="7"/>
  </w:num>
  <w:num w:numId="9" w16cid:durableId="1949696128">
    <w:abstractNumId w:val="6"/>
  </w:num>
  <w:num w:numId="10" w16cid:durableId="1644694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2"/>
  </w:num>
  <w:num w:numId="13" w16cid:durableId="833838777">
    <w:abstractNumId w:val="10"/>
  </w:num>
  <w:num w:numId="14" w16cid:durableId="1217084715">
    <w:abstractNumId w:val="5"/>
  </w:num>
  <w:num w:numId="15" w16cid:durableId="153068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C3"/>
    <w:rsid w:val="000951E3"/>
    <w:rsid w:val="00357BC3"/>
    <w:rsid w:val="004D2618"/>
    <w:rsid w:val="00615D4D"/>
    <w:rsid w:val="007F0BED"/>
    <w:rsid w:val="00841AA7"/>
    <w:rsid w:val="008A22B9"/>
    <w:rsid w:val="009C5632"/>
    <w:rsid w:val="00B313E9"/>
    <w:rsid w:val="00C9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C566"/>
  <w15:chartTrackingRefBased/>
  <w15:docId w15:val="{648D0808-1D9D-4AAF-BE7D-191F7F3F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357BC3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dcterms:created xsi:type="dcterms:W3CDTF">2023-07-21T12:28:00Z</dcterms:created>
  <dcterms:modified xsi:type="dcterms:W3CDTF">2023-07-21T12:28:00Z</dcterms:modified>
</cp:coreProperties>
</file>